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ДЕМОНСТРАЦИОННЫЙ ПРОЕКТ</w:t>
      </w:r>
    </w:p>
    <w:p>
      <w:pPr>
        <w:jc w:val="center"/>
      </w:pPr>
      <w:r>
        <w:t>ООО «ФлоуДеск Технолоджис»</w:t>
      </w:r>
    </w:p>
    <w:p>
      <w:pPr>
        <w:jc w:val="center"/>
      </w:pPr>
      <w:r>
        <w:t>Вымышленная организация</w:t>
      </w:r>
    </w:p>
    <w:p>
      <w:r>
        <w:br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53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УТВЕРЖДАЮ</w:t>
            </w:r>
          </w:p>
        </w:tc>
        <w:tc>
          <w:tcPr>
            <w:tcW w:type="dxa" w:w="453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СОГЛАСОВАНО</w:t>
            </w:r>
          </w:p>
        </w:tc>
      </w:tr>
      <w:tr>
        <w:tc>
          <w:tcPr>
            <w:tcW w:type="dxa" w:w="45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t>Руководитель продукта</w:t>
              <w:br/>
              <w:t>ООО «ФлоуДеск Технолоджис»</w:t>
              <w:br/>
            </w: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900000" cy="5065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ature-orlov-fiction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06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br/>
              <w:t>____________ / А. В. Орлов /</w:t>
              <w:br/>
              <w:t>«___» __________ 2026 г.</w:t>
            </w:r>
          </w:p>
        </w:tc>
        <w:tc>
          <w:tcPr>
            <w:tcW w:type="dxa" w:w="45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t>Системный аналитик</w:t>
              <w:br/>
              <w:t>Коблов Никита Дмитриевич</w:t>
              <w:br/>
            </w: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900000" cy="4047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ature-koblov-blu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404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br/>
              <w:t>____________ / Коблов Н. Д. /</w:t>
              <w:br/>
              <w:t>«07» сентября 2026 г.</w:t>
            </w:r>
          </w:p>
        </w:tc>
      </w:tr>
    </w:tbl>
    <w:p>
      <w:pPr>
        <w:spacing w:after="40"/>
      </w:pPr>
    </w:p>
    <w:p>
      <w:r>
        <w:br/>
      </w:r>
    </w:p>
    <w:p>
      <w:pPr>
        <w:pStyle w:val="Title"/>
        <w:jc w:val="center"/>
      </w:pPr>
      <w:r>
        <w:t>Техническое задание на создание автоматизированной системы FlowDesk Omnichannel</w:t>
      </w:r>
    </w:p>
    <w:p>
      <w:pPr>
        <w:jc w:val="center"/>
      </w:pPr>
      <w:r>
        <w:t>Версия 1.0</w:t>
      </w:r>
    </w:p>
    <w:p>
      <w:pPr>
        <w:jc w:val="center"/>
      </w:pPr>
      <w:r>
        <w:t>Обозначение документа ФД ОК ТЗ 01 2026</w:t>
      </w:r>
    </w:p>
    <w:p>
      <w:r>
        <w:br/>
        <w:br/>
        <w:br/>
      </w:r>
    </w:p>
    <w:p>
      <w:pPr>
        <w:jc w:val="center"/>
      </w:pPr>
      <w:r>
        <w:t>Москва 2026</w:t>
      </w:r>
    </w:p>
    <w:p>
      <w:r>
        <w:br w:type="page"/>
      </w:r>
    </w:p>
    <w:p>
      <w:pPr>
        <w:pStyle w:val="Heading1"/>
      </w:pPr>
      <w:r>
        <w:t>Аннотация</w:t>
      </w:r>
    </w:p>
    <w:p>
      <w:r>
        <w:t>Настоящее техническое задание определяет назначение, состав, требования и порядок создания автоматизированной системы FlowDesk Omnichannel для централизованной обработки обращений клиентов из веб-чата, Telegram и электронной почты. Документ подготовлен как демонстрационный проект системного анализа в структуре, приближенной к ГОСТ 34.602-2020.</w:t>
      </w:r>
    </w:p>
    <w:p>
      <w:r>
        <w:t>Компания, сотрудники, показатели и бизнес-ситуация являются вымышленными. Архитектура, требования, модели данных и критерии испытаний разработаны Кобловым Никитой Дмитриевичем самостоятельно для демонстрации профессиональных компетенций.</w:t>
      </w:r>
    </w:p>
    <w:p>
      <w:pPr>
        <w:pStyle w:val="Heading1"/>
      </w:pPr>
      <w:r>
        <w:t>Лист регистрации изменений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1020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Версия</w:t>
            </w:r>
          </w:p>
        </w:tc>
        <w:tc>
          <w:tcPr>
            <w:tcW w:type="dxa" w:w="158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Дата</w:t>
            </w:r>
          </w:p>
        </w:tc>
        <w:tc>
          <w:tcPr>
            <w:tcW w:type="dxa" w:w="453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Изменение</w:t>
            </w:r>
          </w:p>
        </w:tc>
        <w:tc>
          <w:tcPr>
            <w:tcW w:type="dxa" w:w="215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Автор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1.0</w:t>
            </w:r>
          </w:p>
        </w:tc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07.09.2026</w:t>
            </w:r>
          </w:p>
        </w:tc>
        <w:tc>
          <w:tcPr>
            <w:tcW w:type="dxa" w:w="45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Первоначальная редакция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Коблов Н. Д.</w:t>
            </w:r>
          </w:p>
        </w:tc>
      </w:tr>
    </w:tbl>
    <w:p>
      <w:pPr>
        <w:spacing w:after="40"/>
      </w:pPr>
    </w:p>
    <w:p>
      <w:pPr>
        <w:pStyle w:val="Heading1"/>
      </w:pPr>
      <w:r>
        <w:t>Содержание</w:t>
      </w:r>
    </w:p>
    <w:p>
      <w:r>
        <w:t>1 Общие сведения</w:t>
      </w:r>
    </w:p>
    <w:p>
      <w:r>
        <w:t>2 Назначение и цели создания системы</w:t>
      </w:r>
    </w:p>
    <w:p>
      <w:r>
        <w:t>3 Характеристика объекта автоматизации</w:t>
      </w:r>
    </w:p>
    <w:p>
      <w:r>
        <w:t>4 Требования к системе</w:t>
      </w:r>
    </w:p>
    <w:p>
      <w:r>
        <w:t>5 Состав и содержание работ</w:t>
      </w:r>
    </w:p>
    <w:p>
      <w:r>
        <w:t>6 Порядок контроля и приемки</w:t>
      </w:r>
    </w:p>
    <w:p>
      <w:r>
        <w:t>7 Подготовка объекта автоматизации</w:t>
      </w:r>
    </w:p>
    <w:p>
      <w:r>
        <w:t>8 Требования к документированию</w:t>
      </w:r>
    </w:p>
    <w:p>
      <w:r>
        <w:t>9 Источники разработки</w:t>
      </w:r>
    </w:p>
    <w:p>
      <w:r>
        <w:t>Приложение А Каталог требований</w:t>
      </w:r>
    </w:p>
    <w:p>
      <w:r>
        <w:t>Приложение Б Роли и права</w:t>
      </w:r>
    </w:p>
    <w:p>
      <w:r>
        <w:t>Приложение В API</w:t>
      </w:r>
    </w:p>
    <w:p>
      <w:r>
        <w:t>Приложение Г Модель данных</w:t>
      </w:r>
    </w:p>
    <w:p>
      <w:r>
        <w:t>Приложение Д Испытания</w:t>
      </w:r>
    </w:p>
    <w:p>
      <w:r>
        <w:t>Приложение Е Трассировка и риски</w:t>
      </w:r>
    </w:p>
    <w:p>
      <w:r>
        <w:br w:type="page"/>
      </w:r>
    </w:p>
    <w:p>
      <w:pPr>
        <w:pStyle w:val="Heading1"/>
      </w:pPr>
      <w:r>
        <w:t>1 Общие сведения</w:t>
      </w:r>
    </w:p>
    <w:p>
      <w:pPr>
        <w:pStyle w:val="Heading2"/>
      </w:pPr>
      <w:r>
        <w:t>1.1 Полное наименование системы</w:t>
      </w:r>
    </w:p>
    <w:p>
      <w:r>
        <w:t>Автоматизированная система централизованной обработки клиентских обращений FlowDesk Omnichannel, далее - Система или АС.</w:t>
      </w:r>
    </w:p>
    <w:p>
      <w:pPr>
        <w:pStyle w:val="Heading2"/>
      </w:pPr>
      <w:r>
        <w:t>1.2 Заказчик и разработчик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238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Роль</w:t>
            </w:r>
          </w:p>
        </w:tc>
        <w:tc>
          <w:tcPr>
            <w:tcW w:type="dxa" w:w="442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Организация или лицо</w:t>
            </w:r>
          </w:p>
        </w:tc>
        <w:tc>
          <w:tcPr>
            <w:tcW w:type="dxa" w:w="255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Статус</w:t>
            </w:r>
          </w:p>
        </w:tc>
      </w:tr>
      <w:tr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Заказчик</w:t>
            </w:r>
          </w:p>
        </w:tc>
        <w:tc>
          <w:tcPr>
            <w:tcW w:type="dxa" w:w="442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ООО «ФлоуДеск Технолоджис»</w:t>
            </w:r>
          </w:p>
        </w:tc>
        <w:tc>
          <w:tcPr>
            <w:tcW w:type="dxa" w:w="255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Вымышленная организация</w:t>
            </w:r>
          </w:p>
        </w:tc>
      </w:tr>
      <w:tr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Разработчик аналитической модели</w:t>
            </w:r>
          </w:p>
        </w:tc>
        <w:tc>
          <w:tcPr>
            <w:tcW w:type="dxa" w:w="442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Коблов Никита Дмитриевич</w:t>
            </w:r>
          </w:p>
        </w:tc>
        <w:tc>
          <w:tcPr>
            <w:tcW w:type="dxa" w:w="255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Автор демонстрационного проекта</w:t>
            </w:r>
          </w:p>
        </w:tc>
      </w:tr>
    </w:tbl>
    <w:p>
      <w:pPr>
        <w:spacing w:after="40"/>
      </w:pPr>
    </w:p>
    <w:p>
      <w:pPr>
        <w:pStyle w:val="Heading2"/>
      </w:pPr>
      <w:r>
        <w:t>1.3 Основания для разработки</w:t>
      </w:r>
    </w:p>
    <w:p>
      <w:pPr>
        <w:pStyle w:val="ListBullet"/>
        <w:ind w:firstLine="0" w:left="454"/>
      </w:pPr>
      <w:r>
        <w:t>решение руководителя продукта о консолидации каналов обслуживания клиентов;</w:t>
      </w:r>
    </w:p>
    <w:p>
      <w:pPr>
        <w:pStyle w:val="ListBullet"/>
        <w:ind w:firstLine="0" w:left="454"/>
      </w:pPr>
      <w:r>
        <w:t>необходимость обеспечить управляемые сроки ответа и прозрачность нагрузки операторов;</w:t>
      </w:r>
    </w:p>
    <w:p>
      <w:pPr>
        <w:pStyle w:val="ListBullet"/>
        <w:ind w:firstLine="0" w:left="454"/>
      </w:pPr>
      <w:r>
        <w:t>инициатива по снижению потерь обращений и трудозатрат на ручное переключение между каналами.</w:t>
      </w:r>
    </w:p>
    <w:p>
      <w:pPr>
        <w:pStyle w:val="Heading2"/>
      </w:pPr>
      <w:r>
        <w:t>1.4 Плановые сроки</w:t>
      </w:r>
    </w:p>
    <w:p>
      <w:r>
        <w:t>Начало работ - 14 сентября 2026 года. Завершение опытной эксплуатации - 18 декабря 2026 года. Ввод в промышленную эксплуатацию - 11 января 2027 года.</w:t>
      </w:r>
    </w:p>
    <w:p>
      <w:pPr>
        <w:pStyle w:val="Heading2"/>
      </w:pPr>
      <w:r>
        <w:t>1.5 Порядок оформления результатов</w:t>
      </w:r>
    </w:p>
    <w:p>
      <w:r>
        <w:t>Результаты этапов принимаются заказчиком по комплекту согласованных документов, протоколам демонстрации и протоколам испытаний. Исходный код, спецификации и эксплуатационная документация передаются в репозиторий заказчика.</w:t>
      </w:r>
    </w:p>
    <w:p>
      <w:pPr>
        <w:pStyle w:val="Heading1"/>
      </w:pPr>
      <w:r>
        <w:t>2 Назначение и цели создания системы</w:t>
      </w:r>
    </w:p>
    <w:p>
      <w:pPr>
        <w:pStyle w:val="Heading2"/>
      </w:pPr>
      <w:r>
        <w:t>2.1 Назначение</w:t>
      </w:r>
    </w:p>
    <w:p>
      <w:r>
        <w:t>Система предназначена для приема, маршрутизации, обработки и контроля обращений физических и юридических лиц, поступающих через подключенные цифровые каналы.</w:t>
      </w:r>
    </w:p>
    <w:p>
      <w:pPr>
        <w:pStyle w:val="Heading2"/>
      </w:pPr>
      <w:r>
        <w:t>2.2 Цели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850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Код</w:t>
            </w:r>
          </w:p>
        </w:tc>
        <w:tc>
          <w:tcPr>
            <w:tcW w:type="dxa" w:w="425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Цель</w:t>
            </w:r>
          </w:p>
        </w:tc>
        <w:tc>
          <w:tcPr>
            <w:tcW w:type="dxa" w:w="425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Показатель приемки</w:t>
            </w:r>
          </w:p>
        </w:tc>
      </w:tr>
      <w:tr>
        <w:tc>
          <w:tcPr>
            <w:tcW w:type="dxa" w:w="85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Ц-01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Исключить потерю обращений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менее 99,5 процента валидных входящих сообщений зарегистрировано</w:t>
            </w:r>
          </w:p>
        </w:tc>
      </w:tr>
      <w:tr>
        <w:tc>
          <w:tcPr>
            <w:tcW w:type="dxa" w:w="85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Ц-02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Сократить время первого ответа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Медиана не более 10 минут в рабочее время</w:t>
            </w:r>
          </w:p>
        </w:tc>
      </w:tr>
      <w:tr>
        <w:tc>
          <w:tcPr>
            <w:tcW w:type="dxa" w:w="85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Ц-03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Обеспечить контроль SLA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100 процентов активных обращений имеют рассчитанный срок</w:t>
            </w:r>
          </w:p>
        </w:tc>
      </w:tr>
      <w:tr>
        <w:tc>
          <w:tcPr>
            <w:tcW w:type="dxa" w:w="85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Ц-04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Снизить ручное переключение каналов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менее 90 процентов операций выполняется в одном интерфейсе</w:t>
            </w:r>
          </w:p>
        </w:tc>
      </w:tr>
      <w:tr>
        <w:tc>
          <w:tcPr>
            <w:tcW w:type="dxa" w:w="85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Ц-05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Обеспечить прослеживаемость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Все значимые действия зафиксированы в журнале аудита</w:t>
            </w:r>
          </w:p>
        </w:tc>
      </w:tr>
    </w:tbl>
    <w:p>
      <w:pPr>
        <w:spacing w:after="40"/>
      </w:pPr>
    </w:p>
    <w:p>
      <w:pPr>
        <w:pStyle w:val="Heading1"/>
      </w:pPr>
      <w:r>
        <w:t>3 Характеристика объекта автоматизации</w:t>
      </w:r>
    </w:p>
    <w:p>
      <w:pPr>
        <w:pStyle w:val="Heading2"/>
      </w:pPr>
      <w:r>
        <w:t>3.1 Текущее состояние AS IS</w:t>
      </w:r>
    </w:p>
    <w:p>
      <w:r>
        <w:t>Обращения обрабатываются раздельно в почтовом клиенте, Telegram и форме сайта. Единый идентификатор диалога отсутствует, назначение ответственного выполняется вручную, сроки ответа фиксируются несистемно, а сводная отчетность формируется в электронных таблицах.</w:t>
      </w:r>
    </w:p>
    <w:p>
      <w:pPr>
        <w:pStyle w:val="Heading2"/>
      </w:pPr>
      <w:r>
        <w:t>3.2 Основные проблемы</w:t>
      </w:r>
    </w:p>
    <w:p>
      <w:pPr>
        <w:pStyle w:val="ListBullet"/>
        <w:ind w:firstLine="0" w:left="454"/>
      </w:pPr>
      <w:r>
        <w:t>дублирование и потеря сообщений;</w:t>
      </w:r>
    </w:p>
    <w:p>
      <w:pPr>
        <w:pStyle w:val="ListBullet"/>
        <w:ind w:firstLine="0" w:left="454"/>
      </w:pPr>
      <w:r>
        <w:t>невозможность быстро восстановить контекст клиента;</w:t>
      </w:r>
    </w:p>
    <w:p>
      <w:pPr>
        <w:pStyle w:val="ListBullet"/>
        <w:ind w:firstLine="0" w:left="454"/>
      </w:pPr>
      <w:r>
        <w:t>неравномерное распределение нагрузки;</w:t>
      </w:r>
    </w:p>
    <w:p>
      <w:pPr>
        <w:pStyle w:val="ListBullet"/>
        <w:ind w:firstLine="0" w:left="454"/>
      </w:pPr>
      <w:r>
        <w:t>отсутствие единого статуса обращения;</w:t>
      </w:r>
    </w:p>
    <w:p>
      <w:pPr>
        <w:pStyle w:val="ListBullet"/>
        <w:ind w:firstLine="0" w:left="454"/>
      </w:pPr>
      <w:r>
        <w:t>несвоевременная эскалация нарушений SLA;</w:t>
      </w:r>
    </w:p>
    <w:p>
      <w:pPr>
        <w:pStyle w:val="ListBullet"/>
        <w:ind w:firstLine="0" w:left="454"/>
      </w:pPr>
      <w:r>
        <w:t>избыточное хранение персональных данных.</w:t>
      </w:r>
    </w:p>
    <w:p>
      <w:pPr>
        <w:pStyle w:val="Heading2"/>
      </w:pPr>
      <w:r>
        <w:t>3.3 Целевой процесс TO BE</w:t>
      </w:r>
    </w:p>
    <w:p>
      <w:pPr>
        <w:pStyle w:val="ListNumber"/>
        <w:ind w:firstLine="0" w:left="454"/>
      </w:pPr>
      <w:r>
        <w:t>Коннектор принимает сообщение и нормализует его в единую модель.</w:t>
      </w:r>
    </w:p>
    <w:p>
      <w:pPr>
        <w:pStyle w:val="ListNumber"/>
        <w:ind w:firstLine="0" w:left="454"/>
      </w:pPr>
      <w:r>
        <w:t>Система ищет существующий профиль клиента или создает новый.</w:t>
      </w:r>
    </w:p>
    <w:p>
      <w:pPr>
        <w:pStyle w:val="ListNumber"/>
        <w:ind w:firstLine="0" w:left="454"/>
      </w:pPr>
      <w:r>
        <w:t>Правило маршрутизации определяет очередь, приоритет и ответственного.</w:t>
      </w:r>
    </w:p>
    <w:p>
      <w:pPr>
        <w:pStyle w:val="ListNumber"/>
        <w:ind w:firstLine="0" w:left="454"/>
      </w:pPr>
      <w:r>
        <w:t>Оператор обрабатывает диалог в едином рабочем месте.</w:t>
      </w:r>
    </w:p>
    <w:p>
      <w:pPr>
        <w:pStyle w:val="ListNumber"/>
        <w:ind w:firstLine="0" w:left="454"/>
      </w:pPr>
      <w:r>
        <w:t>Таймер SLA отслеживает время первого ответа и решения.</w:t>
      </w:r>
    </w:p>
    <w:p>
      <w:pPr>
        <w:pStyle w:val="ListNumber"/>
        <w:ind w:firstLine="0" w:left="454"/>
      </w:pPr>
      <w:r>
        <w:t>Ответ отправляется через исходный канал.</w:t>
      </w:r>
    </w:p>
    <w:p>
      <w:pPr>
        <w:pStyle w:val="ListNumber"/>
        <w:ind w:firstLine="0" w:left="454"/>
      </w:pPr>
      <w:r>
        <w:t>После закрытия обращение архивируется, а данные удаляются по политике хранения.</w:t>
      </w:r>
    </w:p>
    <w:p>
      <w:r>
        <w:br w:type="page"/>
      </w:r>
    </w:p>
    <w:p>
      <w:pPr>
        <w:pStyle w:val="Heading1"/>
      </w:pPr>
      <w:r>
        <w:t>4 Требования к системе</w:t>
      </w:r>
    </w:p>
    <w:p>
      <w:pPr>
        <w:pStyle w:val="Heading2"/>
      </w:pPr>
      <w:r>
        <w:t>4.1 Требования к структуре и функционированию</w:t>
      </w:r>
    </w:p>
    <w:p>
      <w:r>
        <w:t>Система строится по модульной клиент-серверной архитектуре. В состав входят веб-интерфейс, API-шлюз, сервис диалогов, сервис маршрутизации, сервис SLA, сервис уведомлений, интеграционные адаптеры, база данных и журнал аудита.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215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Компонент</w:t>
            </w:r>
          </w:p>
        </w:tc>
        <w:tc>
          <w:tcPr>
            <w:tcW w:type="dxa" w:w="4649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Ответственность</w:t>
            </w:r>
          </w:p>
        </w:tc>
        <w:tc>
          <w:tcPr>
            <w:tcW w:type="dxa" w:w="238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Интерфейс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Веб-интерфейс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Рабочее место оператора и руководителя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HTTPS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API-шлюз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Маршрутизация, аутентификация, лимиты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REST JSON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Сервис диалогов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Профили, диалоги, сообщения, статусы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REST, события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Сервис маршрутизации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Очереди, навыки, приоритеты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События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Сервис SLA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Дедлайны, предупреждения, эскалации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Планировщик, события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Адаптеры каналов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Telegram, email, веб-чат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Webhook, SMTP, IMAP</w:t>
            </w:r>
          </w:p>
        </w:tc>
      </w:tr>
      <w:tr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Хранилище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Транзакционные данные и аудит</w:t>
            </w:r>
          </w:p>
        </w:tc>
        <w:tc>
          <w:tcPr>
            <w:tcW w:type="dxa" w:w="238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SQL</w:t>
            </w:r>
          </w:p>
        </w:tc>
      </w:tr>
    </w:tbl>
    <w:p>
      <w:pPr>
        <w:spacing w:after="40"/>
      </w:pPr>
    </w:p>
    <w:p>
      <w:pPr>
        <w:pStyle w:val="Heading2"/>
      </w:pPr>
      <w:r>
        <w:t>4.2 Требования к функциям</w:t>
      </w:r>
    </w:p>
    <w:p>
      <w:pPr>
        <w:pStyle w:val="ListBullet"/>
        <w:ind w:firstLine="0" w:left="454"/>
      </w:pPr>
      <w:r>
        <w:t>регистрация входящих сообщений с защитой от дублей;</w:t>
      </w:r>
    </w:p>
    <w:p>
      <w:pPr>
        <w:pStyle w:val="ListBullet"/>
        <w:ind w:firstLine="0" w:left="454"/>
      </w:pPr>
      <w:r>
        <w:t>объединение сообщений по клиенту и каналу;</w:t>
      </w:r>
    </w:p>
    <w:p>
      <w:pPr>
        <w:pStyle w:val="ListBullet"/>
        <w:ind w:firstLine="0" w:left="454"/>
      </w:pPr>
      <w:r>
        <w:t>назначение оператора вручную и по правилам;</w:t>
      </w:r>
    </w:p>
    <w:p>
      <w:pPr>
        <w:pStyle w:val="ListBullet"/>
        <w:ind w:firstLine="0" w:left="454"/>
      </w:pPr>
      <w:r>
        <w:t>ведение статусов Новый, Назначен, В работе, Ожидает клиента, Решен, Закрыт;</w:t>
      </w:r>
    </w:p>
    <w:p>
      <w:pPr>
        <w:pStyle w:val="ListBullet"/>
        <w:ind w:firstLine="0" w:left="454"/>
      </w:pPr>
      <w:r>
        <w:t>поддержка приоритета, тегов, внутренних комментариев и вложений;</w:t>
      </w:r>
    </w:p>
    <w:p>
      <w:pPr>
        <w:pStyle w:val="ListBullet"/>
        <w:ind w:firstLine="0" w:left="454"/>
      </w:pPr>
      <w:r>
        <w:t>расчет SLA с учетом календаря обслуживания;</w:t>
      </w:r>
    </w:p>
    <w:p>
      <w:pPr>
        <w:pStyle w:val="ListBullet"/>
        <w:ind w:firstLine="0" w:left="454"/>
      </w:pPr>
      <w:r>
        <w:t>уведомление и эскалация просроченных обращений;</w:t>
      </w:r>
    </w:p>
    <w:p>
      <w:pPr>
        <w:pStyle w:val="ListBullet"/>
        <w:ind w:firstLine="0" w:left="454"/>
      </w:pPr>
      <w:r>
        <w:t>полнотекстовый поиск и фильтрация;</w:t>
      </w:r>
    </w:p>
    <w:p>
      <w:pPr>
        <w:pStyle w:val="ListBullet"/>
        <w:ind w:firstLine="0" w:left="454"/>
      </w:pPr>
      <w:r>
        <w:t>аналитические отчеты по каналам, очередям и операторам;</w:t>
      </w:r>
    </w:p>
    <w:p>
      <w:pPr>
        <w:pStyle w:val="ListBullet"/>
        <w:ind w:firstLine="0" w:left="454"/>
      </w:pPr>
      <w:r>
        <w:t>экспорт обезличенной статистики;</w:t>
      </w:r>
    </w:p>
    <w:p>
      <w:pPr>
        <w:pStyle w:val="ListBullet"/>
        <w:ind w:firstLine="0" w:left="454"/>
      </w:pPr>
      <w:r>
        <w:t>удаление выбранного диалога и данных субъекта;</w:t>
      </w:r>
    </w:p>
    <w:p>
      <w:pPr>
        <w:pStyle w:val="ListBullet"/>
        <w:ind w:firstLine="0" w:left="454"/>
      </w:pPr>
      <w:r>
        <w:t>ведение журнала аудита.</w:t>
      </w:r>
    </w:p>
    <w:p>
      <w:pPr>
        <w:pStyle w:val="Heading2"/>
      </w:pPr>
      <w:r>
        <w:t>4.3 Требования к надежности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311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Показатель</w:t>
            </w:r>
          </w:p>
        </w:tc>
        <w:tc>
          <w:tcPr>
            <w:tcW w:type="dxa" w:w="6123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Требование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Доступность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менее 99,5 процента в месяц без учета согласованных работ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RPO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более 15 минут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RTO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более 60 минут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Повторная доставка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Не менее 5 попыток с экспоненциальной задержкой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Идемпотентность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Для приема сообщений и команд изменения состояния</w:t>
            </w:r>
          </w:p>
        </w:tc>
      </w:tr>
      <w:tr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Резервное копирование</w:t>
            </w:r>
          </w:p>
        </w:tc>
        <w:tc>
          <w:tcPr>
            <w:tcW w:type="dxa" w:w="6123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Ежедневное полное и каждые 15 минут журнал транзакций</w:t>
            </w:r>
          </w:p>
        </w:tc>
      </w:tr>
    </w:tbl>
    <w:p>
      <w:pPr>
        <w:spacing w:after="40"/>
      </w:pPr>
    </w:p>
    <w:p>
      <w:pPr>
        <w:pStyle w:val="Heading2"/>
      </w:pPr>
      <w:r>
        <w:t>4.4 Производительность</w:t>
      </w:r>
    </w:p>
    <w:p>
      <w:pPr>
        <w:pStyle w:val="ListBullet"/>
        <w:ind w:firstLine="0" w:left="454"/>
      </w:pPr>
      <w:r>
        <w:t>не менее 50 одновременных операторов;</w:t>
      </w:r>
    </w:p>
    <w:p>
      <w:pPr>
        <w:pStyle w:val="ListBullet"/>
        <w:ind w:firstLine="0" w:left="454"/>
      </w:pPr>
      <w:r>
        <w:t>до 100 входящих сообщений в секунду в пиковом режиме;</w:t>
      </w:r>
    </w:p>
    <w:p>
      <w:pPr>
        <w:pStyle w:val="ListBullet"/>
        <w:ind w:firstLine="0" w:left="454"/>
      </w:pPr>
      <w:r>
        <w:t>95-й перцентиль чтения списка диалогов - не более 700 мс;</w:t>
      </w:r>
    </w:p>
    <w:p>
      <w:pPr>
        <w:pStyle w:val="ListBullet"/>
        <w:ind w:firstLine="0" w:left="454"/>
      </w:pPr>
      <w:r>
        <w:t>95-й перцентиль создания сообщения - не более 1000 мс без учета внешнего канала;</w:t>
      </w:r>
    </w:p>
    <w:p>
      <w:pPr>
        <w:pStyle w:val="ListBullet"/>
        <w:ind w:firstLine="0" w:left="454"/>
      </w:pPr>
      <w:r>
        <w:t>обновление интерфейса после события - не более 3 секунд.</w:t>
      </w:r>
    </w:p>
    <w:p>
      <w:pPr>
        <w:pStyle w:val="Heading2"/>
      </w:pPr>
      <w:r>
        <w:t>4.5 Информационная безопасность</w:t>
      </w:r>
    </w:p>
    <w:p>
      <w:pPr>
        <w:pStyle w:val="ListBullet"/>
        <w:ind w:firstLine="0" w:left="454"/>
      </w:pPr>
      <w:r>
        <w:t>TLS 1.2 и выше для внешних соединений;</w:t>
      </w:r>
    </w:p>
    <w:p>
      <w:pPr>
        <w:pStyle w:val="ListBullet"/>
        <w:ind w:firstLine="0" w:left="454"/>
      </w:pPr>
      <w:r>
        <w:t>ролевая модель доступа и принцип минимальных привилегий;</w:t>
      </w:r>
    </w:p>
    <w:p>
      <w:pPr>
        <w:pStyle w:val="ListBullet"/>
        <w:ind w:firstLine="0" w:left="454"/>
      </w:pPr>
      <w:r>
        <w:t>многофакторная аутентификация администраторов;</w:t>
      </w:r>
    </w:p>
    <w:p>
      <w:pPr>
        <w:pStyle w:val="ListBullet"/>
        <w:ind w:firstLine="0" w:left="454"/>
      </w:pPr>
      <w:r>
        <w:t>шифрование резервных копий;</w:t>
      </w:r>
    </w:p>
    <w:p>
      <w:pPr>
        <w:pStyle w:val="ListBullet"/>
        <w:ind w:firstLine="0" w:left="454"/>
      </w:pPr>
      <w:r>
        <w:t>маскирование контактов в журналах;</w:t>
      </w:r>
    </w:p>
    <w:p>
      <w:pPr>
        <w:pStyle w:val="ListBullet"/>
        <w:ind w:firstLine="0" w:left="454"/>
      </w:pPr>
      <w:r>
        <w:t>защита от CSRF, XSS, SQL-инъекций, перебора и злоупотребления API;</w:t>
      </w:r>
    </w:p>
    <w:p>
      <w:pPr>
        <w:pStyle w:val="ListBullet"/>
        <w:ind w:firstLine="0" w:left="454"/>
      </w:pPr>
      <w:r>
        <w:t>регистрация входа, выгрузки, просмотра и удаления данных;</w:t>
      </w:r>
    </w:p>
    <w:p>
      <w:pPr>
        <w:pStyle w:val="ListBullet"/>
        <w:ind w:firstLine="0" w:left="454"/>
      </w:pPr>
      <w:r>
        <w:t>срок хранения активных диалогов - 180 суток, журналов аудита - 365 суток, если иное не определено политикой заказчика.</w:t>
      </w:r>
    </w:p>
    <w:p>
      <w:pPr>
        <w:pStyle w:val="Heading2"/>
      </w:pPr>
      <w:r>
        <w:t>4.6 Персональные данные</w:t>
      </w:r>
    </w:p>
    <w:p>
      <w:r>
        <w:t>Обработка выполняется для ответа на обращение на основании согласия субъекта. Интерфейс должен раскрывать цель, состав и срок обработки, не допускать отправку формы без согласия и предоставлять механизм удаления данных. Реализация подлежит отдельной правовой и организационной оценке оператора персональных данных.</w:t>
      </w:r>
    </w:p>
    <w:p>
      <w:pPr>
        <w:pStyle w:val="Heading2"/>
      </w:pPr>
      <w:r>
        <w:t>4.7 Требования к интерфейсу</w:t>
      </w:r>
    </w:p>
    <w:p>
      <w:pPr>
        <w:pStyle w:val="ListBullet"/>
        <w:ind w:firstLine="0" w:left="454"/>
      </w:pPr>
      <w:r>
        <w:t>основная очередь и фильтры доступны в первом экране;</w:t>
      </w:r>
    </w:p>
    <w:p>
      <w:pPr>
        <w:pStyle w:val="ListBullet"/>
        <w:ind w:firstLine="0" w:left="454"/>
      </w:pPr>
      <w:r>
        <w:t>статус SLA различим не только цветом;</w:t>
      </w:r>
    </w:p>
    <w:p>
      <w:pPr>
        <w:pStyle w:val="ListBullet"/>
        <w:ind w:firstLine="0" w:left="454"/>
      </w:pPr>
      <w:r>
        <w:t>клавиатурная навигация поддерживает основные операции;</w:t>
      </w:r>
    </w:p>
    <w:p>
      <w:pPr>
        <w:pStyle w:val="ListBullet"/>
        <w:ind w:firstLine="0" w:left="454"/>
      </w:pPr>
      <w:r>
        <w:t>интерфейс корректен при масштабе 200 процентов;</w:t>
      </w:r>
    </w:p>
    <w:p>
      <w:pPr>
        <w:pStyle w:val="ListBullet"/>
        <w:ind w:firstLine="0" w:left="454"/>
      </w:pPr>
      <w:r>
        <w:t>русский язык является основным;</w:t>
      </w:r>
    </w:p>
    <w:p>
      <w:pPr>
        <w:pStyle w:val="ListBullet"/>
        <w:ind w:firstLine="0" w:left="454"/>
      </w:pPr>
      <w:r>
        <w:t>даты отображаются в часовом поясе пользователя с указанием исходного времени в аудите.</w:t>
      </w:r>
    </w:p>
    <w:p>
      <w:pPr>
        <w:pStyle w:val="Heading1"/>
      </w:pPr>
      <w:r>
        <w:t>5 Состав и содержание работ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272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Этап</w:t>
            </w:r>
          </w:p>
        </w:tc>
        <w:tc>
          <w:tcPr>
            <w:tcW w:type="dxa" w:w="425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Результат</w:t>
            </w:r>
          </w:p>
        </w:tc>
        <w:tc>
          <w:tcPr>
            <w:tcW w:type="dxa" w:w="226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Срок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Обследование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Отчет AS IS, реестр заинтересованных сторон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14-25.09.2026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Технический проект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ТЗ, архитектура, модели, OpenAPI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28.09-23.10.2026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Разработка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Инкременты продукта и автотесты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26.10-27.11.2026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Предварительные испытания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Протокол и перечень замечаний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30.11-04.12.2026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Опытная эксплуатация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Отчет, уточненные инструкции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07-18.12.2026</w:t>
            </w:r>
          </w:p>
        </w:tc>
      </w:tr>
      <w:tr>
        <w:tc>
          <w:tcPr>
            <w:tcW w:type="dxa" w:w="272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Ввод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Акт приемки и эксплуатационный комплект</w:t>
            </w:r>
          </w:p>
        </w:tc>
        <w:tc>
          <w:tcPr>
            <w:tcW w:type="dxa" w:w="226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11.01.2027</w:t>
            </w:r>
          </w:p>
        </w:tc>
      </w:tr>
    </w:tbl>
    <w:p>
      <w:pPr>
        <w:spacing w:after="40"/>
      </w:pPr>
    </w:p>
    <w:p>
      <w:pPr>
        <w:pStyle w:val="Heading1"/>
      </w:pPr>
      <w:r>
        <w:t>6 Порядок контроля и приемки</w:t>
      </w:r>
    </w:p>
    <w:p>
      <w:r>
        <w:t>Приемка выполняется комиссией заказчика по программе и методике испытаний. Критические сценарии должны завершиться успешно, блокирующие дефекты отсутствовать, а доля успешно выполненных некритических проверок составлять не менее 95 процентов.</w:t>
      </w:r>
    </w:p>
    <w:p>
      <w:pPr>
        <w:pStyle w:val="ListBullet"/>
        <w:ind w:firstLine="0" w:left="454"/>
      </w:pPr>
      <w:r>
        <w:t>функциональные испытания;</w:t>
      </w:r>
    </w:p>
    <w:p>
      <w:pPr>
        <w:pStyle w:val="ListBullet"/>
        <w:ind w:firstLine="0" w:left="454"/>
      </w:pPr>
      <w:r>
        <w:t>интеграционные испытания каналов;</w:t>
      </w:r>
    </w:p>
    <w:p>
      <w:pPr>
        <w:pStyle w:val="ListBullet"/>
        <w:ind w:firstLine="0" w:left="454"/>
      </w:pPr>
      <w:r>
        <w:t>проверка производительности;</w:t>
      </w:r>
    </w:p>
    <w:p>
      <w:pPr>
        <w:pStyle w:val="ListBullet"/>
        <w:ind w:firstLine="0" w:left="454"/>
      </w:pPr>
      <w:r>
        <w:t>проверка восстановления;</w:t>
      </w:r>
    </w:p>
    <w:p>
      <w:pPr>
        <w:pStyle w:val="ListBullet"/>
        <w:ind w:firstLine="0" w:left="454"/>
      </w:pPr>
      <w:r>
        <w:t>проверка разграничения доступа;</w:t>
      </w:r>
    </w:p>
    <w:p>
      <w:pPr>
        <w:pStyle w:val="ListBullet"/>
        <w:ind w:firstLine="0" w:left="454"/>
      </w:pPr>
      <w:r>
        <w:t>приемочное тестирование представителями операторов.</w:t>
      </w:r>
    </w:p>
    <w:p>
      <w:pPr>
        <w:pStyle w:val="Heading1"/>
      </w:pPr>
      <w:r>
        <w:t>7 Подготовка объекта автоматизации</w:t>
      </w:r>
    </w:p>
    <w:p>
      <w:pPr>
        <w:pStyle w:val="ListBullet"/>
        <w:ind w:firstLine="0" w:left="454"/>
      </w:pPr>
      <w:r>
        <w:t>назначить владельцев очередей и администратора;</w:t>
      </w:r>
    </w:p>
    <w:p>
      <w:pPr>
        <w:pStyle w:val="ListBullet"/>
        <w:ind w:firstLine="0" w:left="454"/>
      </w:pPr>
      <w:r>
        <w:t>утвердить календарь и нормативы SLA;</w:t>
      </w:r>
    </w:p>
    <w:p>
      <w:pPr>
        <w:pStyle w:val="ListBullet"/>
        <w:ind w:firstLine="0" w:left="454"/>
      </w:pPr>
      <w:r>
        <w:t>подготовить домены, сертификаты и учетные записи каналов;</w:t>
      </w:r>
    </w:p>
    <w:p>
      <w:pPr>
        <w:pStyle w:val="ListBullet"/>
        <w:ind w:firstLine="0" w:left="454"/>
      </w:pPr>
      <w:r>
        <w:t>очистить и нормализовать справочники;</w:t>
      </w:r>
    </w:p>
    <w:p>
      <w:pPr>
        <w:pStyle w:val="ListBullet"/>
        <w:ind w:firstLine="0" w:left="454"/>
      </w:pPr>
      <w:r>
        <w:t>обучить операторов и руководителей;</w:t>
      </w:r>
    </w:p>
    <w:p>
      <w:pPr>
        <w:pStyle w:val="ListBullet"/>
        <w:ind w:firstLine="0" w:left="454"/>
      </w:pPr>
      <w:r>
        <w:t>утвердить регламент резервного копирования и реагирования на инциденты.</w:t>
      </w:r>
    </w:p>
    <w:p>
      <w:pPr>
        <w:pStyle w:val="Heading1"/>
      </w:pPr>
      <w:r>
        <w:t>8 Требования к документированию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510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Документ</w:t>
            </w:r>
          </w:p>
        </w:tc>
        <w:tc>
          <w:tcPr>
            <w:tcW w:type="dxa" w:w="408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Формат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Техническое задание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DOCX, PDF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Описание архитектуры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PDF, PlantUML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Спецификация API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OpenAPI YAML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Модель данных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ERD, словарь данных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Программа и методика испытаний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DOCX, PDF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Руководство оператора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HTML, PDF</w:t>
            </w:r>
          </w:p>
        </w:tc>
      </w:tr>
      <w:tr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Руководство администратора</w:t>
            </w:r>
          </w:p>
        </w:tc>
        <w:tc>
          <w:tcPr>
            <w:tcW w:type="dxa" w:w="408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8"/>
              </w:rPr>
              <w:t>HTML, PDF</w:t>
            </w:r>
          </w:p>
        </w:tc>
      </w:tr>
    </w:tbl>
    <w:p>
      <w:pPr>
        <w:spacing w:after="40"/>
      </w:pPr>
    </w:p>
    <w:p>
      <w:pPr>
        <w:pStyle w:val="Heading1"/>
      </w:pPr>
      <w:r>
        <w:t>9 Источники разработки</w:t>
      </w:r>
    </w:p>
    <w:p>
      <w:pPr>
        <w:ind w:firstLine="0"/>
      </w:pPr>
      <w:r>
        <w:t>9.1 Приложение А Каталог требований.</w:t>
      </w:r>
    </w:p>
    <w:p>
      <w:pPr>
        <w:ind w:firstLine="0"/>
      </w:pPr>
      <w:r>
        <w:t>9.2 Приложение Б Роли и права.</w:t>
      </w:r>
    </w:p>
    <w:p>
      <w:pPr>
        <w:ind w:firstLine="0"/>
      </w:pPr>
      <w:r>
        <w:t>9.3 Приложение В Спецификация программного интерфейса.</w:t>
      </w:r>
    </w:p>
    <w:p>
      <w:pPr>
        <w:ind w:firstLine="0"/>
      </w:pPr>
      <w:r>
        <w:t>9.4 Приложение Г Модель данных.</w:t>
      </w:r>
    </w:p>
    <w:p>
      <w:pPr>
        <w:ind w:firstLine="0"/>
      </w:pPr>
      <w:r>
        <w:t>9.5 Приложение Д Программа приемочных испытаний.</w:t>
      </w:r>
    </w:p>
    <w:p>
      <w:pPr>
        <w:ind w:firstLine="0"/>
      </w:pPr>
      <w:r>
        <w:t>9.6 Приложение Е Трассировка требований и реестр рисков.</w:t>
      </w:r>
    </w:p>
    <w:p>
      <w:r>
        <w:br w:type="page"/>
      </w:r>
    </w:p>
    <w:p>
      <w:pPr>
        <w:pStyle w:val="Heading1"/>
      </w:pPr>
      <w:r>
        <w:t>Приложение А Каталог требований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107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Код</w:t>
            </w:r>
          </w:p>
        </w:tc>
        <w:tc>
          <w:tcPr>
            <w:tcW w:type="dxa" w:w="215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Наименование</w:t>
            </w:r>
          </w:p>
        </w:tc>
        <w:tc>
          <w:tcPr>
            <w:tcW w:type="dxa" w:w="510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Требование</w:t>
            </w:r>
          </w:p>
        </w:tc>
        <w:tc>
          <w:tcPr>
            <w:tcW w:type="dxa" w:w="124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Приоритет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FR-001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Прием сообщения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Система принимает сообщение веб-чата и присваивает уникальный идентификатор.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FR-002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Дедупликация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Повтор с тем же идентификатором канала не создает второе сообщение.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FR-003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Профиль клиента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Система связывает контакт с существующим профилем при однозначном совпадении.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FR-004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Очередь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Новое обращение помещается в очередь согласно каналу и теме.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FR-005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Автоназначение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Свободный оператор с требуемым навыком получает обращение.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FR-006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Ручное назначение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Руководитель назначает или переназначает оператора.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FR-007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Ответ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Оператор отправляет ответ через исходный канал.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FR-008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Внутренний комментарий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Комментарий виден сотрудникам и не отправляется клиенту.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FR-009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Статусы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Допустимые переходы контролируются конечным автоматом.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FR-010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SLA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Для обращения рассчитываются сроки первого ответа и решения.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FR-011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Эскалация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За 20 процентов до нарушения SLA руководитель получает предупреждение.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FR-012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Поиск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Поиск выполняется по имени, контакту, номеру и тексту сообщения.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FR-013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Фильтры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Очередь фильтруется по статусу, каналу, тегу, оператору и SLA.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FR-014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Аудит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Значимые действия сохраняются с субъектом, временем и результатом.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FR-015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Удаление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Уполномоченный пользователь удаляет конкретный диалог и связанные данные.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FR-016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Отчетность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Руководитель получает показатели объема, скорости и качества.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FR-017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Telegram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Адаптер принимает webhook и отправляет ответы Bot API.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FR-018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Email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Адаптер создает обращения из входящих писем и сохраняет цепочку.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FR-019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Вложения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Система проверяет тип и размер файла и хранит ссылку на объект.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Средний</w:t>
            </w:r>
          </w:p>
        </w:tc>
      </w:tr>
      <w:tr>
        <w:tc>
          <w:tcPr>
            <w:tcW w:type="dxa" w:w="107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FR-020</w:t>
            </w:r>
          </w:p>
        </w:tc>
        <w:tc>
          <w:tcPr>
            <w:tcW w:type="dxa" w:w="215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Согласие</w:t>
            </w:r>
          </w:p>
        </w:tc>
        <w:tc>
          <w:tcPr>
            <w:tcW w:type="dxa" w:w="51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Веб-форма не отправляется без явно установленного согласия.</w:t>
            </w:r>
          </w:p>
        </w:tc>
        <w:tc>
          <w:tcPr>
            <w:tcW w:type="dxa" w:w="124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Высокий</w:t>
            </w:r>
          </w:p>
        </w:tc>
      </w:tr>
    </w:tbl>
    <w:p>
      <w:pPr>
        <w:spacing w:after="40"/>
      </w:pPr>
    </w:p>
    <w:p>
      <w:pPr>
        <w:pStyle w:val="Heading1"/>
      </w:pPr>
      <w:r>
        <w:t>Приложение Б Роли и права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rPr>
          <w:tblHeader w:val="true"/>
        </w:trPr>
        <w:tc>
          <w:tcPr>
            <w:tcW w:type="dxa" w:w="300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Операция</w:t>
            </w:r>
          </w:p>
        </w:tc>
        <w:tc>
          <w:tcPr>
            <w:tcW w:type="dxa" w:w="147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Оператор</w:t>
            </w:r>
          </w:p>
        </w:tc>
        <w:tc>
          <w:tcPr>
            <w:tcW w:type="dxa" w:w="164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Руководитель</w:t>
            </w:r>
          </w:p>
        </w:tc>
        <w:tc>
          <w:tcPr>
            <w:tcW w:type="dxa" w:w="175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Администратор</w:t>
            </w:r>
          </w:p>
        </w:tc>
        <w:tc>
          <w:tcPr>
            <w:tcW w:type="dxa" w:w="147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Аудитор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Просмотр назначенных диалогов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Только чтение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Ответ клиенту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Переназначение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Изменение SLA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Экспорт отчетов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Удаление диалога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 запросу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Управление пользователями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</w:tr>
      <w:tr>
        <w:tc>
          <w:tcPr>
            <w:tcW w:type="dxa" w:w="300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Просмотр аудита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Нет</w:t>
            </w:r>
          </w:p>
        </w:tc>
        <w:tc>
          <w:tcPr>
            <w:tcW w:type="dxa" w:w="164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Ограниченно</w:t>
            </w:r>
          </w:p>
        </w:tc>
        <w:tc>
          <w:tcPr>
            <w:tcW w:type="dxa" w:w="175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Да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Приложение В Спецификация программного интерфейса</w:t>
      </w:r>
    </w:p>
    <w:p>
      <w:r>
        <w:t>Базовый адрес демонстрационного API: https://api.flowdesk.example/v1. Авторизация операторов выполняется по OAuth 2.0. Запросы создания поддерживают заголовок Idempotency-Key.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113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Метод</w:t>
            </w:r>
          </w:p>
        </w:tc>
        <w:tc>
          <w:tcPr>
            <w:tcW w:type="dxa" w:w="345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Путь</w:t>
            </w:r>
          </w:p>
        </w:tc>
        <w:tc>
          <w:tcPr>
            <w:tcW w:type="dxa" w:w="374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Назначение</w:t>
            </w:r>
          </w:p>
        </w:tc>
        <w:tc>
          <w:tcPr>
            <w:tcW w:type="dxa" w:w="136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Успешный ответ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POST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Создать обращение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201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GET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Получить очередь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200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GET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/conversations/{id}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Получить карточку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200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PATCH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/conversations/{id}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Изменить статус или ответственного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200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DELETE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/conversations/{id}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Удалить диалог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204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POST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/conversations/{id}/messages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Отправить сообщение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201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POST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/conversations/{id}/notes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Добавить внутренний комментарий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201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POST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/webhooks/telegram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Принять событие Telegram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202</w:t>
            </w:r>
          </w:p>
        </w:tc>
      </w:tr>
      <w:tr>
        <w:tc>
          <w:tcPr>
            <w:tcW w:type="dxa" w:w="113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GET</w:t>
            </w:r>
          </w:p>
        </w:tc>
        <w:tc>
          <w:tcPr>
            <w:tcW w:type="dxa" w:w="345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/reports/sla</w:t>
            </w:r>
          </w:p>
        </w:tc>
        <w:tc>
          <w:tcPr>
            <w:tcW w:type="dxa" w:w="374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Получить отчет SLA</w:t>
            </w:r>
          </w:p>
        </w:tc>
        <w:tc>
          <w:tcPr>
            <w:tcW w:type="dxa" w:w="136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200</w:t>
            </w:r>
          </w:p>
        </w:tc>
      </w:tr>
    </w:tbl>
    <w:p>
      <w:pPr>
        <w:spacing w:after="40"/>
      </w:pPr>
    </w:p>
    <w:p>
      <w:pPr>
        <w:pStyle w:val="Heading2"/>
      </w:pPr>
      <w:r>
        <w:t>В.1 Пример создания сообщения</w:t>
      </w:r>
    </w:p>
    <w:p>
      <w:pPr>
        <w:pStyle w:val="Code"/>
      </w:pPr>
      <w:r>
        <w:t>{</w:t>
        <w:br/>
        <w:t xml:space="preserve">  "conversationId": "01J6...",</w:t>
        <w:br/>
        <w:t xml:space="preserve">  "text": "Добрый день. Нужна консультация",</w:t>
        <w:br/>
        <w:t xml:space="preserve">  "channelMessageId": "tg-84721"</w:t>
        <w:br/>
        <w:t>}</w:t>
      </w:r>
    </w:p>
    <w:p>
      <w:pPr>
        <w:pStyle w:val="Heading2"/>
      </w:pPr>
      <w:r>
        <w:t>В.2 Единая модель ошибки</w:t>
      </w:r>
    </w:p>
    <w:p>
      <w:pPr>
        <w:pStyle w:val="Code"/>
      </w:pPr>
      <w:r>
        <w:t>{</w:t>
        <w:br/>
        <w:t xml:space="preserve">  "code": "CONVERSATION_NOT_FOUND",</w:t>
        <w:br/>
        <w:t xml:space="preserve">  "message": "Диалог не найден",</w:t>
        <w:br/>
        <w:t xml:space="preserve">  "traceId": "4d67...",</w:t>
        <w:br/>
        <w:t xml:space="preserve">  "details": []</w:t>
        <w:br/>
        <w:t>}</w:t>
      </w:r>
    </w:p>
    <w:p>
      <w:pPr>
        <w:pStyle w:val="Heading1"/>
      </w:pPr>
      <w:r>
        <w:t>Приложение Г Модель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192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Сущность</w:t>
            </w:r>
          </w:p>
        </w:tc>
        <w:tc>
          <w:tcPr>
            <w:tcW w:type="dxa" w:w="4649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Ключевые атрибуты</w:t>
            </w:r>
          </w:p>
        </w:tc>
        <w:tc>
          <w:tcPr>
            <w:tcW w:type="dxa" w:w="283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Назначение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Customer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name, contacts, consent_at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Профиль клиента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Conversation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customer_id, channel_id, status, priority, assignee_id, sla_due_at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Карточка обращения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Message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conversation_id, direction, body, external_id, created_at, read_at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Сообщение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Channel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type, name, settings_ref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Подключенный канал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Queue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name, calendar_id, routing_rule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Очередь обработки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User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role_id, status, display_name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Сотрудник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AuditEvent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actor_id, action, object_type, object_id, occurred_at, result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Событие аудита</w:t>
            </w:r>
          </w:p>
        </w:tc>
      </w:tr>
      <w:tr>
        <w:tc>
          <w:tcPr>
            <w:tcW w:type="dxa" w:w="192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SlaPolicy</w:t>
            </w:r>
          </w:p>
        </w:tc>
        <w:tc>
          <w:tcPr>
            <w:tcW w:type="dxa" w:w="4649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id, priority, first_response_minutes, resolution_minutes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Норматив обслуживания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Приложение Д Программа приемочных испытаний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rPr>
          <w:tblHeader w:val="true"/>
        </w:trPr>
        <w:tc>
          <w:tcPr>
            <w:tcW w:type="dxa" w:w="1020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Код</w:t>
            </w:r>
          </w:p>
        </w:tc>
        <w:tc>
          <w:tcPr>
            <w:tcW w:type="dxa" w:w="198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Сценарий</w:t>
            </w:r>
          </w:p>
        </w:tc>
        <w:tc>
          <w:tcPr>
            <w:tcW w:type="dxa" w:w="311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Действия</w:t>
            </w:r>
          </w:p>
        </w:tc>
        <w:tc>
          <w:tcPr>
            <w:tcW w:type="dxa" w:w="3118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Ожидаемый результат</w:t>
            </w:r>
          </w:p>
        </w:tc>
        <w:tc>
          <w:tcPr>
            <w:tcW w:type="dxa" w:w="141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Связь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AT-001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Новое веб-обращение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Заполнить форму с согласием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Создан диалог, оператор уведомлен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FR-001, FR-020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AT-002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Запрет без согласия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Не устанавливать согласие и отправить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Отправка заблокирована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FR-020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AT-003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Дедупликация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Дважды передать один внешний ID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Создано одно сообщение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FR-002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AT-004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Автоназначение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Создать обращение известной темы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Назначен оператор с навыком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FR-004, FR-005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AT-005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Ответ через Telegram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Ответить из операторской панели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Клиент получил сообщение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FR-007, FR-017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AT-006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Контроль перехода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Попытаться закрыть Новый диалог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Система требует обработку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FR-009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AT-007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Эскалация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Приблизить тестовое время к SLA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Руководитель уведомлен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FR-010, FR-011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AT-008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Точечное удаление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Удалить выбранный диалог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Связанные данные удалены, прочие сохранены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FR-015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AT-009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Разграничение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Оператор открывает аудит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Доступ запрещен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NFR-SEC</w:t>
            </w:r>
          </w:p>
        </w:tc>
      </w:tr>
      <w:tr>
        <w:tc>
          <w:tcPr>
            <w:tcW w:type="dxa" w:w="102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AT-010</w:t>
            </w:r>
          </w:p>
        </w:tc>
        <w:tc>
          <w:tcPr>
            <w:tcW w:type="dxa" w:w="198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Нагрузка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Подать 100 сообщений в секунду</w:t>
            </w:r>
          </w:p>
        </w:tc>
        <w:tc>
          <w:tcPr>
            <w:tcW w:type="dxa" w:w="3118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Потерь нет, норматив времени соблюден</w:t>
            </w:r>
          </w:p>
        </w:tc>
        <w:tc>
          <w:tcPr>
            <w:tcW w:type="dxa" w:w="141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5"/>
              </w:rPr>
              <w:t>NFR-PERF</w:t>
            </w:r>
          </w:p>
        </w:tc>
      </w:tr>
    </w:tbl>
    <w:p>
      <w:pPr>
        <w:spacing w:after="40"/>
      </w:pPr>
    </w:p>
    <w:p>
      <w:pPr>
        <w:pStyle w:val="Heading2"/>
      </w:pPr>
      <w:r>
        <w:t>Д.1 Критерии завершения</w:t>
      </w:r>
    </w:p>
    <w:p>
      <w:pPr>
        <w:pStyle w:val="ListBullet"/>
        <w:ind w:firstLine="0" w:left="454"/>
      </w:pPr>
      <w:r>
        <w:t>все критические проверки выполнены успешно;</w:t>
      </w:r>
    </w:p>
    <w:p>
      <w:pPr>
        <w:pStyle w:val="ListBullet"/>
        <w:ind w:firstLine="0" w:left="454"/>
      </w:pPr>
      <w:r>
        <w:t>отсутствуют блокирующие и критические дефекты;</w:t>
      </w:r>
    </w:p>
    <w:p>
      <w:pPr>
        <w:pStyle w:val="ListBullet"/>
        <w:ind w:firstLine="0" w:left="454"/>
      </w:pPr>
      <w:r>
        <w:t>производительность подтверждена протоколом;</w:t>
      </w:r>
    </w:p>
    <w:p>
      <w:pPr>
        <w:pStyle w:val="ListBullet"/>
        <w:ind w:firstLine="0" w:left="454"/>
      </w:pPr>
      <w:r>
        <w:t>восстановление из резервной копии выполнено в пределах RTO;</w:t>
      </w:r>
    </w:p>
    <w:p>
      <w:pPr>
        <w:pStyle w:val="ListBullet"/>
        <w:ind w:firstLine="0" w:left="454"/>
      </w:pPr>
      <w:r>
        <w:t>замечания классифицированы и согласованы комиссией.</w:t>
      </w:r>
    </w:p>
    <w:p>
      <w:pPr>
        <w:pStyle w:val="Heading1"/>
      </w:pPr>
      <w:r>
        <w:t>Приложение Е Трассировка и риски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1587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Цель</w:t>
            </w:r>
          </w:p>
        </w:tc>
        <w:tc>
          <w:tcPr>
            <w:tcW w:type="dxa" w:w="425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Требования</w:t>
            </w:r>
          </w:p>
        </w:tc>
        <w:tc>
          <w:tcPr>
            <w:tcW w:type="dxa" w:w="3402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Испытания</w:t>
            </w:r>
          </w:p>
        </w:tc>
      </w:tr>
      <w:tr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Ц-01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FR-001, FR-002, FR-017, FR-018</w:t>
            </w:r>
          </w:p>
        </w:tc>
        <w:tc>
          <w:tcPr>
            <w:tcW w:type="dxa" w:w="34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AT-001, AT-003, AT-005</w:t>
            </w:r>
          </w:p>
        </w:tc>
      </w:tr>
      <w:tr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Ц-02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FR-004, FR-005, FR-010</w:t>
            </w:r>
          </w:p>
        </w:tc>
        <w:tc>
          <w:tcPr>
            <w:tcW w:type="dxa" w:w="34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AT-004, AT-007</w:t>
            </w:r>
          </w:p>
        </w:tc>
      </w:tr>
      <w:tr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Ц-03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FR-010, FR-011, FR-016</w:t>
            </w:r>
          </w:p>
        </w:tc>
        <w:tc>
          <w:tcPr>
            <w:tcW w:type="dxa" w:w="34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AT-007</w:t>
            </w:r>
          </w:p>
        </w:tc>
      </w:tr>
      <w:tr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Ц-04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FR-007, FR-008, FR-012, FR-013</w:t>
            </w:r>
          </w:p>
        </w:tc>
        <w:tc>
          <w:tcPr>
            <w:tcW w:type="dxa" w:w="34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AT-005</w:t>
            </w:r>
          </w:p>
        </w:tc>
      </w:tr>
      <w:tr>
        <w:tc>
          <w:tcPr>
            <w:tcW w:type="dxa" w:w="1587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Ц-05</w:t>
            </w:r>
          </w:p>
        </w:tc>
        <w:tc>
          <w:tcPr>
            <w:tcW w:type="dxa" w:w="425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FR-014, FR-015</w:t>
            </w:r>
          </w:p>
        </w:tc>
        <w:tc>
          <w:tcPr>
            <w:tcW w:type="dxa" w:w="3402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AT-008, AT-009</w:t>
            </w:r>
          </w:p>
        </w:tc>
      </w:tr>
    </w:tbl>
    <w:p>
      <w:pPr>
        <w:spacing w:after="40"/>
      </w:pPr>
    </w:p>
    <w:p>
      <w:pPr>
        <w:pStyle w:val="Heading2"/>
      </w:pPr>
      <w:r>
        <w:t>Е.1 Реестр ключевых рисков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351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Риск</w:t>
            </w:r>
          </w:p>
        </w:tc>
        <w:tc>
          <w:tcPr>
            <w:tcW w:type="dxa" w:w="1474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Вероятность</w:t>
            </w:r>
          </w:p>
        </w:tc>
        <w:tc>
          <w:tcPr>
            <w:tcW w:type="dxa" w:w="1531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Влияние</w:t>
            </w:r>
          </w:p>
        </w:tc>
        <w:tc>
          <w:tcPr>
            <w:tcW w:type="dxa" w:w="2835"/>
            <w:shd w:fill="FFFFFF"/>
            <w:vAlign w:val="center"/>
            <w:noWrap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Мера реагирования</w:t>
            </w:r>
          </w:p>
        </w:tc>
      </w:tr>
      <w:tr>
        <w:tc>
          <w:tcPr>
            <w:tcW w:type="dxa" w:w="351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Недоступность внешнего канала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Средняя</w:t>
            </w:r>
          </w:p>
        </w:tc>
        <w:tc>
          <w:tcPr>
            <w:tcW w:type="dxa" w:w="153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Высокое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Очередь, retry, мониторинг и аварийный канал</w:t>
            </w:r>
          </w:p>
        </w:tc>
      </w:tr>
      <w:tr>
        <w:tc>
          <w:tcPr>
            <w:tcW w:type="dxa" w:w="351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Ошибочное объединение клиентов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Низкая</w:t>
            </w:r>
          </w:p>
        </w:tc>
        <w:tc>
          <w:tcPr>
            <w:tcW w:type="dxa" w:w="153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Высокое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Порог уверенности и ручное подтверждение</w:t>
            </w:r>
          </w:p>
        </w:tc>
      </w:tr>
      <w:tr>
        <w:tc>
          <w:tcPr>
            <w:tcW w:type="dxa" w:w="351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Утечка персональных данных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Низкая</w:t>
            </w:r>
          </w:p>
        </w:tc>
        <w:tc>
          <w:tcPr>
            <w:tcW w:type="dxa" w:w="153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Критическое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Минимизация, RBAC, шифрование и аудит</w:t>
            </w:r>
          </w:p>
        </w:tc>
      </w:tr>
      <w:tr>
        <w:tc>
          <w:tcPr>
            <w:tcW w:type="dxa" w:w="351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Рост очереди сообщений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Средняя</w:t>
            </w:r>
          </w:p>
        </w:tc>
        <w:tc>
          <w:tcPr>
            <w:tcW w:type="dxa" w:w="153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Высокое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Масштабирование потребителей и backpressure</w:t>
            </w:r>
          </w:p>
        </w:tc>
      </w:tr>
      <w:tr>
        <w:tc>
          <w:tcPr>
            <w:tcW w:type="dxa" w:w="351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Сопротивление операторов</w:t>
            </w:r>
          </w:p>
        </w:tc>
        <w:tc>
          <w:tcPr>
            <w:tcW w:type="dxa" w:w="1474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Средняя</w:t>
            </w:r>
          </w:p>
        </w:tc>
        <w:tc>
          <w:tcPr>
            <w:tcW w:type="dxa" w:w="1531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Среднее</w:t>
            </w:r>
          </w:p>
        </w:tc>
        <w:tc>
          <w:tcPr>
            <w:tcW w:type="dxa" w:w="2835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</w:tcPr>
          <w:p>
            <w:pPr>
              <w:spacing w:after="0" w:line="240" w:lineRule="auto"/>
              <w:ind w:firstLine="0"/>
            </w:pPr>
            <w:r>
              <w:rPr>
                <w:rFonts w:ascii="Arial" w:hAnsi="Arial"/>
                <w:sz w:val="16"/>
              </w:rPr>
              <w:t>Пилот, обучение и сбор обратной связи</w:t>
            </w:r>
          </w:p>
        </w:tc>
      </w:tr>
    </w:tbl>
    <w:p>
      <w:pPr>
        <w:spacing w:after="40"/>
      </w:pPr>
    </w:p>
    <w:p>
      <w:pPr>
        <w:pStyle w:val="Heading1"/>
      </w:pPr>
      <w:r>
        <w:t>Заключительная отметка</w:t>
      </w:r>
    </w:p>
    <w:p>
      <w:r>
        <w:t>Документ подготовил системный аналитик Коблов Никита Дмитриевич. Подпись приведена как реквизит демонстрационного проекта и не является утверждением документа реальной организацией.</w:t>
      </w:r>
    </w:p>
    <w:p>
      <w:pPr>
        <w:ind w:firstLine="0"/>
      </w:pPr>
      <w:r>
        <w:t xml:space="preserve">Системный аналитик   </w:t>
      </w:r>
      <w:r>
        <w:drawing>
          <wp:inline xmlns:a="http://schemas.openxmlformats.org/drawingml/2006/main" xmlns:pic="http://schemas.openxmlformats.org/drawingml/2006/picture">
            <wp:extent cx="1620000" cy="7285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-koblov-blu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2856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/ Коблов Н. Д. /</w:t>
      </w:r>
    </w:p>
    <w:sectPr w:rsidR="00FC693F" w:rsidRPr="0006063C" w:rsidSect="00034616">
      <w:footerReference w:type="default" r:id="rId11"/>
      <w:pgSz w:w="12240" w:h="15840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color w:val="000000"/>
      </w:rPr>
      <w:t xml:space="preserve">ФД ОК ТЗ 01 2026     Лист </w:t>
    </w:r>
    <w:fldSimple w:instr="PAGE"/>
    <w:r>
      <w:rPr>
        <w:color w:val="000000"/>
      </w:rPr>
      <w:t xml:space="preserve"> из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  <w:ind w:firstLine="709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000000"/>
      </w:pBdr>
      <w:spacing w:after="3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after="80"/>
      <w:ind w:left="454" w:firstLine="0"/>
    </w:pPr>
    <w:rPr>
      <w:rFonts w:ascii="Courier New" w:hAnsi="Courier New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FlowDesk Omnichannel</dc:title>
  <dc:subject>Демонстрационный проект системного анализа</dc:subject>
  <dc:creator>Коблов Никита Дмитриевич</dc:creator>
  <cp:keywords>системный анализ, ГОСТ 34.602-2020, FlowDesk, омниканальный чат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